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1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9"/>
        <w:gridCol w:w="1135"/>
        <w:gridCol w:w="4758"/>
        <w:gridCol w:w="9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学历层次</w:t>
            </w:r>
          </w:p>
        </w:tc>
        <w:tc>
          <w:tcPr>
            <w:tcW w:w="47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2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英大证券有限责任公司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（含英大期货有限公司）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4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电力工程经济与管理、电力系统及其自动化等相关专业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计算机科学与技术、软件工程等相关专业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金融、会计、经济学、审计、市场营销、法学、人力资源等相关专业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约21人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kern w:val="0"/>
          <w:sz w:val="30"/>
          <w:szCs w:val="30"/>
          <w:shd w:val="clear" w:fill="FFFFFF"/>
          <w:lang w:val="en-US" w:eastAsia="zh-CN" w:bidi="ar"/>
        </w:rPr>
        <w:t>注：最终招聘数量将根据上级单位核定情况相应调整。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922B0"/>
    <w:rsid w:val="58F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2020-11-09T10:22:00Z</dcterms:created>
  <dc:creator>Administrator</dc:creator>
  <cp:lastModifiedBy>Administrator</cp:lastModifiedBy>
  <dcterms:modified xsi:type="dcterms:W3CDTF">2020-11-09T11:00:45Z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